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EB0" w:rsidRDefault="00447EB0" w:rsidP="00447EB0">
      <w:pPr>
        <w:shd w:val="clear" w:color="auto" w:fill="BFBFBF" w:themeFill="background1" w:themeFillShade="BF"/>
        <w:jc w:val="both"/>
        <w:rPr>
          <w:b/>
          <w:bCs/>
        </w:rPr>
      </w:pPr>
      <w:bookmarkStart w:id="0" w:name="_GoBack"/>
      <w:bookmarkEnd w:id="0"/>
      <w:r w:rsidRPr="00447EB0">
        <w:rPr>
          <w:b/>
          <w:bCs/>
        </w:rPr>
        <w:t>A Agricultura antes do CETA</w:t>
      </w:r>
      <w:r w:rsidRPr="00447EB0">
        <w:t>    </w:t>
      </w:r>
      <w:r w:rsidRPr="00447EB0">
        <w:rPr>
          <w:b/>
          <w:bCs/>
        </w:rPr>
        <w:t xml:space="preserve"> </w:t>
      </w:r>
    </w:p>
    <w:p w:rsidR="00447EB0" w:rsidRPr="00447EB0" w:rsidRDefault="00447EB0" w:rsidP="00447EB0">
      <w:pPr>
        <w:jc w:val="both"/>
      </w:pPr>
      <w:r w:rsidRPr="00447EB0">
        <w:rPr>
          <w:b/>
          <w:bCs/>
        </w:rPr>
        <w:t>O valor anual exportações de alimentos e bebidas da UE para Canadá - 3,4 mil milhões de euros (Eurostat 2016)</w:t>
      </w:r>
    </w:p>
    <w:p w:rsidR="00447EB0" w:rsidRPr="00447EB0" w:rsidRDefault="00447EB0" w:rsidP="00447EB0">
      <w:pPr>
        <w:jc w:val="both"/>
      </w:pPr>
      <w:r w:rsidRPr="00447EB0">
        <w:t xml:space="preserve">O Canadá </w:t>
      </w:r>
      <w:r w:rsidR="00DB4A8A">
        <w:t xml:space="preserve">era já antes do CETA </w:t>
      </w:r>
      <w:r w:rsidRPr="00447EB0">
        <w:t>o 9</w:t>
      </w:r>
      <w:r w:rsidR="006D1D2F">
        <w:t>.</w:t>
      </w:r>
      <w:r w:rsidRPr="00447EB0">
        <w:t>º maior mercado da UE para exportações agrícolas</w:t>
      </w:r>
      <w:r w:rsidR="00DB4A8A">
        <w:t xml:space="preserve"> e </w:t>
      </w:r>
      <w:r w:rsidRPr="00447EB0">
        <w:t>o 22</w:t>
      </w:r>
      <w:r w:rsidR="006D1D2F">
        <w:t>.</w:t>
      </w:r>
      <w:r w:rsidRPr="00447EB0">
        <w:t>º destino das exportações nacionais (</w:t>
      </w:r>
      <w:r w:rsidR="00DB4A8A">
        <w:t>AA -</w:t>
      </w:r>
      <w:r w:rsidR="006D1D2F">
        <w:t xml:space="preserve"> </w:t>
      </w:r>
      <w:r w:rsidRPr="00447EB0">
        <w:t>A</w:t>
      </w:r>
      <w:r w:rsidR="00DB4A8A">
        <w:t>grícola e Agroalimentar, M</w:t>
      </w:r>
      <w:r w:rsidR="006D1D2F">
        <w:t xml:space="preserve"> </w:t>
      </w:r>
      <w:r w:rsidR="00DB4A8A">
        <w:t>- produtos da pesca, F</w:t>
      </w:r>
      <w:r w:rsidR="006D1D2F">
        <w:t xml:space="preserve"> </w:t>
      </w:r>
      <w:r w:rsidR="00DB4A8A">
        <w:t>-</w:t>
      </w:r>
      <w:r w:rsidR="006D1D2F">
        <w:t xml:space="preserve"> </w:t>
      </w:r>
      <w:r w:rsidR="00DB4A8A">
        <w:t>produtos florestais</w:t>
      </w:r>
      <w:r w:rsidRPr="00447EB0">
        <w:t xml:space="preserve">) e encontra-se na 18ª posição no </w:t>
      </w:r>
      <w:r w:rsidRPr="006D1D2F">
        <w:rPr>
          <w:i/>
        </w:rPr>
        <w:t>ranking</w:t>
      </w:r>
      <w:r w:rsidRPr="00447EB0">
        <w:t xml:space="preserve"> das p</w:t>
      </w:r>
      <w:r w:rsidR="00DB4A8A">
        <w:t>rincipais origens de importações agroflorestais</w:t>
      </w:r>
      <w:r w:rsidRPr="00447EB0">
        <w:t>.</w:t>
      </w:r>
    </w:p>
    <w:p w:rsidR="006D1D2F" w:rsidRPr="006D1D2F" w:rsidRDefault="00447EB0" w:rsidP="006D1D2F">
      <w:pPr>
        <w:spacing w:after="0" w:line="240" w:lineRule="auto"/>
        <w:jc w:val="both"/>
        <w:rPr>
          <w:b/>
        </w:rPr>
      </w:pPr>
      <w:r w:rsidRPr="006D1D2F">
        <w:rPr>
          <w:b/>
        </w:rPr>
        <w:t>Trocas comerciais Portugal –</w:t>
      </w:r>
      <w:r w:rsidR="006D1D2F" w:rsidRPr="006D1D2F">
        <w:rPr>
          <w:b/>
        </w:rPr>
        <w:t xml:space="preserve"> </w:t>
      </w:r>
      <w:r w:rsidRPr="006D1D2F">
        <w:rPr>
          <w:b/>
        </w:rPr>
        <w:t>Canadá (média 2012-201</w:t>
      </w:r>
      <w:r w:rsidR="00486B7F" w:rsidRPr="006D1D2F">
        <w:rPr>
          <w:b/>
        </w:rPr>
        <w:t>7</w:t>
      </w:r>
      <w:r w:rsidRPr="006D1D2F">
        <w:rPr>
          <w:b/>
        </w:rPr>
        <w:t>)</w:t>
      </w:r>
    </w:p>
    <w:p w:rsidR="00447EB0" w:rsidRPr="00447EB0" w:rsidRDefault="00447EB0" w:rsidP="006D1D2F">
      <w:pPr>
        <w:spacing w:after="120" w:line="240" w:lineRule="auto"/>
        <w:jc w:val="both"/>
      </w:pPr>
      <w:r w:rsidRPr="00447EB0">
        <w:t>(link: </w:t>
      </w:r>
      <w:hyperlink r:id="rId5" w:history="1">
        <w:r w:rsidRPr="00447EB0">
          <w:rPr>
            <w:rStyle w:val="Hiperligao"/>
          </w:rPr>
          <w:t>http://213.30.17.29/GlobalAgriMar/informacao/</w:t>
        </w:r>
      </w:hyperlink>
      <w:r w:rsidRPr="00447EB0">
        <w:t>)</w:t>
      </w:r>
    </w:p>
    <w:p w:rsidR="00447EB0" w:rsidRPr="00447EB0" w:rsidRDefault="00447EB0" w:rsidP="006D1D2F">
      <w:pPr>
        <w:spacing w:after="120"/>
        <w:jc w:val="both"/>
      </w:pPr>
      <w:r w:rsidRPr="00447EB0">
        <w:t xml:space="preserve">Antes do Acordo CETA o acesso ao mercado do Canadá já se encontrava liberalizado em alguns produtos </w:t>
      </w:r>
      <w:r w:rsidR="000852AA">
        <w:t>com interesse para o setor agro</w:t>
      </w:r>
      <w:r w:rsidRPr="00447EB0">
        <w:t>alimentar português, como o azeite, enchidos e presuntos e, ainda, conservas de sardinha. Para estes produtos já não eram aplicados direitos à importação no Canadá.</w:t>
      </w:r>
    </w:p>
    <w:p w:rsidR="00447EB0" w:rsidRPr="00447EB0" w:rsidRDefault="00447EB0" w:rsidP="00447EB0">
      <w:pPr>
        <w:spacing w:after="0"/>
        <w:jc w:val="both"/>
      </w:pPr>
      <w:r w:rsidRPr="00447EB0">
        <w:t> </w:t>
      </w:r>
      <w:r w:rsidRPr="00447EB0">
        <w:rPr>
          <w:b/>
          <w:bCs/>
        </w:rPr>
        <w:t xml:space="preserve">Exportações </w:t>
      </w:r>
      <w:proofErr w:type="gramStart"/>
      <w:r w:rsidRPr="00447EB0">
        <w:rPr>
          <w:b/>
          <w:bCs/>
        </w:rPr>
        <w:t>AA</w:t>
      </w:r>
      <w:r w:rsidRPr="00447EB0">
        <w:t> (NC</w:t>
      </w:r>
      <w:proofErr w:type="gramEnd"/>
      <w:r w:rsidRPr="00447EB0">
        <w:t xml:space="preserve"> 4 dígitos)    </w:t>
      </w:r>
      <w:r w:rsidR="00486B7F">
        <w:t xml:space="preserve">   </w:t>
      </w:r>
      <w:r w:rsidR="00222CD7">
        <w:t>49</w:t>
      </w:r>
      <w:r w:rsidRPr="00447EB0">
        <w:t>%  │ Vinho de uvas frescas</w:t>
      </w:r>
    </w:p>
    <w:p w:rsidR="00447EB0" w:rsidRPr="00447EB0" w:rsidRDefault="00447EB0" w:rsidP="00447EB0">
      <w:pPr>
        <w:spacing w:after="0"/>
        <w:jc w:val="both"/>
      </w:pPr>
      <w:r w:rsidRPr="00447EB0">
        <w:t>                                                       </w:t>
      </w:r>
      <w:r w:rsidR="00486B7F">
        <w:t xml:space="preserve">   </w:t>
      </w:r>
      <w:r w:rsidRPr="00447EB0">
        <w:t> </w:t>
      </w:r>
      <w:r w:rsidR="00486B7F">
        <w:t xml:space="preserve">   </w:t>
      </w:r>
      <w:r w:rsidR="00222CD7">
        <w:t>7</w:t>
      </w:r>
      <w:r w:rsidRPr="00447EB0">
        <w:t>%    │ Preparações de produtos hortícolas</w:t>
      </w:r>
    </w:p>
    <w:p w:rsidR="00447EB0" w:rsidRPr="00447EB0" w:rsidRDefault="00447EB0" w:rsidP="00447EB0">
      <w:pPr>
        <w:spacing w:after="0"/>
        <w:jc w:val="both"/>
      </w:pPr>
      <w:r w:rsidRPr="00447EB0">
        <w:t>                                                        </w:t>
      </w:r>
      <w:r w:rsidR="00486B7F">
        <w:t xml:space="preserve">      </w:t>
      </w:r>
      <w:r w:rsidRPr="00447EB0">
        <w:t>3%    │ Azeite</w:t>
      </w:r>
    </w:p>
    <w:p w:rsidR="00447EB0" w:rsidRPr="00447EB0" w:rsidRDefault="00447EB0" w:rsidP="00447EB0">
      <w:pPr>
        <w:spacing w:after="0"/>
        <w:jc w:val="both"/>
      </w:pPr>
      <w:r w:rsidRPr="00447EB0">
        <w:t>                                                        </w:t>
      </w:r>
      <w:r w:rsidR="00486B7F">
        <w:t xml:space="preserve">      </w:t>
      </w:r>
      <w:r w:rsidR="0071361B">
        <w:t>2,5</w:t>
      </w:r>
      <w:r w:rsidRPr="00447EB0">
        <w:t>% │ Queijos</w:t>
      </w:r>
    </w:p>
    <w:p w:rsidR="000852AA" w:rsidRDefault="00447EB0" w:rsidP="00447EB0">
      <w:pPr>
        <w:spacing w:after="0"/>
        <w:jc w:val="both"/>
      </w:pPr>
      <w:r w:rsidRPr="00447EB0">
        <w:rPr>
          <w:b/>
          <w:bCs/>
        </w:rPr>
        <w:t>Importações AA</w:t>
      </w:r>
      <w:r w:rsidRPr="00447EB0">
        <w:t> mais relevantes   </w:t>
      </w:r>
      <w:r w:rsidR="000852AA">
        <w:t>30</w:t>
      </w:r>
      <w:r w:rsidR="000852AA" w:rsidRPr="00447EB0">
        <w:t xml:space="preserve">%  │ Milho </w:t>
      </w:r>
    </w:p>
    <w:p w:rsidR="00447EB0" w:rsidRPr="00447EB0" w:rsidRDefault="000852AA" w:rsidP="000852AA">
      <w:pPr>
        <w:spacing w:after="0"/>
        <w:ind w:left="2832"/>
        <w:jc w:val="both"/>
      </w:pPr>
      <w:r>
        <w:t xml:space="preserve">     </w:t>
      </w:r>
      <w:r w:rsidR="00447EB0" w:rsidRPr="00447EB0">
        <w:t>2</w:t>
      </w:r>
      <w:r w:rsidR="00CE5558">
        <w:t>3</w:t>
      </w:r>
      <w:r w:rsidR="00447EB0" w:rsidRPr="00447EB0">
        <w:t>%  │ Sementes de nabo silvestre ou de colza</w:t>
      </w:r>
    </w:p>
    <w:p w:rsidR="00447EB0" w:rsidRDefault="00447EB0" w:rsidP="000852AA">
      <w:pPr>
        <w:spacing w:after="0"/>
        <w:jc w:val="both"/>
      </w:pPr>
      <w:r w:rsidRPr="00447EB0">
        <w:t>                                                        </w:t>
      </w:r>
      <w:r w:rsidR="00486B7F">
        <w:t xml:space="preserve">     </w:t>
      </w:r>
      <w:r w:rsidR="00CE5558">
        <w:t> 12</w:t>
      </w:r>
      <w:r w:rsidRPr="00447EB0">
        <w:t>%  │ Trigo e mistura trigo/centeio</w:t>
      </w:r>
    </w:p>
    <w:p w:rsidR="00447EB0" w:rsidRPr="00447EB0" w:rsidRDefault="00447EB0" w:rsidP="00447EB0">
      <w:pPr>
        <w:spacing w:after="0"/>
      </w:pPr>
    </w:p>
    <w:tbl>
      <w:tblPr>
        <w:tblW w:w="9064" w:type="dxa"/>
        <w:tblCellSpacing w:w="15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shd w:val="clear" w:color="auto" w:fill="F2F2F2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4"/>
      </w:tblGrid>
      <w:tr w:rsidR="00447EB0" w:rsidRPr="00447EB0" w:rsidTr="00447EB0">
        <w:trPr>
          <w:tblCellSpacing w:w="15" w:type="dxa"/>
        </w:trPr>
        <w:tc>
          <w:tcPr>
            <w:tcW w:w="900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2F2F2"/>
            <w:vAlign w:val="center"/>
            <w:hideMark/>
          </w:tcPr>
          <w:p w:rsidR="00447EB0" w:rsidRPr="006D1D2F" w:rsidRDefault="00447EB0" w:rsidP="006D1D2F">
            <w:pPr>
              <w:spacing w:after="120" w:line="240" w:lineRule="auto"/>
              <w:rPr>
                <w:sz w:val="20"/>
                <w:szCs w:val="20"/>
              </w:rPr>
            </w:pPr>
            <w:r w:rsidRPr="006D1D2F">
              <w:rPr>
                <w:b/>
                <w:bCs/>
                <w:sz w:val="20"/>
                <w:szCs w:val="20"/>
              </w:rPr>
              <w:t>Síntese</w:t>
            </w:r>
          </w:p>
          <w:p w:rsidR="00447EB0" w:rsidRPr="006D1D2F" w:rsidRDefault="00447EB0" w:rsidP="006D1D2F">
            <w:pPr>
              <w:numPr>
                <w:ilvl w:val="0"/>
                <w:numId w:val="1"/>
              </w:numPr>
              <w:tabs>
                <w:tab w:val="clear" w:pos="720"/>
              </w:tabs>
              <w:spacing w:after="120" w:line="240" w:lineRule="auto"/>
              <w:ind w:left="641"/>
              <w:jc w:val="both"/>
              <w:rPr>
                <w:sz w:val="20"/>
                <w:szCs w:val="20"/>
              </w:rPr>
            </w:pPr>
            <w:r w:rsidRPr="006D1D2F">
              <w:rPr>
                <w:sz w:val="20"/>
                <w:szCs w:val="20"/>
              </w:rPr>
              <w:t>As trocas comerciais de bens transacionáveis (excluindo serviços) entre Portugal e Ca</w:t>
            </w:r>
            <w:r w:rsidR="00802719" w:rsidRPr="006D1D2F">
              <w:rPr>
                <w:sz w:val="20"/>
                <w:szCs w:val="20"/>
              </w:rPr>
              <w:t>nadá representam um total de 281</w:t>
            </w:r>
            <w:r w:rsidRPr="006D1D2F">
              <w:rPr>
                <w:sz w:val="20"/>
                <w:szCs w:val="20"/>
              </w:rPr>
              <w:t xml:space="preserve"> mil</w:t>
            </w:r>
            <w:r w:rsidR="00802719" w:rsidRPr="006D1D2F">
              <w:rPr>
                <w:sz w:val="20"/>
                <w:szCs w:val="20"/>
              </w:rPr>
              <w:t>hões de € em exportações e 159</w:t>
            </w:r>
            <w:r w:rsidRPr="006D1D2F">
              <w:rPr>
                <w:sz w:val="20"/>
                <w:szCs w:val="20"/>
              </w:rPr>
              <w:t xml:space="preserve"> milhões de € em importações, na média do período 201</w:t>
            </w:r>
            <w:r w:rsidR="00802719" w:rsidRPr="006D1D2F">
              <w:rPr>
                <w:sz w:val="20"/>
                <w:szCs w:val="20"/>
              </w:rPr>
              <w:t>3-2017</w:t>
            </w:r>
            <w:r w:rsidRPr="006D1D2F">
              <w:rPr>
                <w:sz w:val="20"/>
                <w:szCs w:val="20"/>
              </w:rPr>
              <w:t>, correspondendo a um saldo positivo da bal</w:t>
            </w:r>
            <w:r w:rsidR="00802719" w:rsidRPr="006D1D2F">
              <w:rPr>
                <w:sz w:val="20"/>
                <w:szCs w:val="20"/>
              </w:rPr>
              <w:t>ança comercial de cerca de 122</w:t>
            </w:r>
            <w:r w:rsidRPr="006D1D2F">
              <w:rPr>
                <w:sz w:val="20"/>
                <w:szCs w:val="20"/>
              </w:rPr>
              <w:t xml:space="preserve"> milhões.</w:t>
            </w:r>
          </w:p>
          <w:p w:rsidR="00447EB0" w:rsidRPr="006D1D2F" w:rsidRDefault="00447EB0" w:rsidP="006D1D2F">
            <w:pPr>
              <w:numPr>
                <w:ilvl w:val="0"/>
                <w:numId w:val="1"/>
              </w:numPr>
              <w:tabs>
                <w:tab w:val="clear" w:pos="720"/>
              </w:tabs>
              <w:spacing w:after="120" w:line="240" w:lineRule="auto"/>
              <w:ind w:left="641"/>
              <w:jc w:val="both"/>
              <w:rPr>
                <w:sz w:val="20"/>
                <w:szCs w:val="20"/>
              </w:rPr>
            </w:pPr>
            <w:r w:rsidRPr="006D1D2F">
              <w:rPr>
                <w:sz w:val="20"/>
                <w:szCs w:val="20"/>
              </w:rPr>
              <w:t>No que respeita aos produtos dos setores agrícola e agroalimentar, mar e florestas,</w:t>
            </w:r>
            <w:r w:rsidR="00802719" w:rsidRPr="006D1D2F">
              <w:rPr>
                <w:sz w:val="20"/>
                <w:szCs w:val="20"/>
              </w:rPr>
              <w:t xml:space="preserve"> Portugal exportou para Canadá 81</w:t>
            </w:r>
            <w:r w:rsidRPr="006D1D2F">
              <w:rPr>
                <w:sz w:val="20"/>
                <w:szCs w:val="20"/>
              </w:rPr>
              <w:t xml:space="preserve"> milhões de € em média anual, no mesmo períod</w:t>
            </w:r>
            <w:r w:rsidR="00802719" w:rsidRPr="006D1D2F">
              <w:rPr>
                <w:sz w:val="20"/>
                <w:szCs w:val="20"/>
              </w:rPr>
              <w:t>o (ocupando assim este país a 15</w:t>
            </w:r>
            <w:r w:rsidRPr="006D1D2F">
              <w:rPr>
                <w:sz w:val="20"/>
                <w:szCs w:val="20"/>
              </w:rPr>
              <w:t>ª posição em relação ao total dos países), enquanto</w:t>
            </w:r>
            <w:r w:rsidR="00802719" w:rsidRPr="006D1D2F">
              <w:rPr>
                <w:sz w:val="20"/>
                <w:szCs w:val="20"/>
              </w:rPr>
              <w:t xml:space="preserve"> as importações totalizaram 75 milhões de € (17</w:t>
            </w:r>
            <w:r w:rsidRPr="006D1D2F">
              <w:rPr>
                <w:sz w:val="20"/>
                <w:szCs w:val="20"/>
              </w:rPr>
              <w:t>ª posição).</w:t>
            </w:r>
          </w:p>
          <w:p w:rsidR="00447EB0" w:rsidRPr="00447EB0" w:rsidRDefault="00447EB0" w:rsidP="006D1D2F">
            <w:pPr>
              <w:numPr>
                <w:ilvl w:val="0"/>
                <w:numId w:val="1"/>
              </w:numPr>
              <w:tabs>
                <w:tab w:val="clear" w:pos="720"/>
              </w:tabs>
              <w:spacing w:after="120" w:line="240" w:lineRule="auto"/>
              <w:ind w:left="641"/>
              <w:jc w:val="both"/>
              <w:rPr>
                <w:sz w:val="18"/>
                <w:szCs w:val="18"/>
              </w:rPr>
            </w:pPr>
            <w:r w:rsidRPr="006D1D2F">
              <w:rPr>
                <w:sz w:val="20"/>
                <w:szCs w:val="20"/>
              </w:rPr>
              <w:t>Se nos referirmos apenas ao setor agrícola e agroalimentar, as exporta</w:t>
            </w:r>
            <w:r w:rsidR="00802719" w:rsidRPr="006D1D2F">
              <w:rPr>
                <w:sz w:val="20"/>
                <w:szCs w:val="20"/>
              </w:rPr>
              <w:t>ções representam, em média, 59</w:t>
            </w:r>
            <w:r w:rsidRPr="006D1D2F">
              <w:rPr>
                <w:sz w:val="20"/>
                <w:szCs w:val="20"/>
              </w:rPr>
              <w:t xml:space="preserve"> milhões de € (14</w:t>
            </w:r>
            <w:r w:rsidR="00802719" w:rsidRPr="006D1D2F">
              <w:rPr>
                <w:sz w:val="20"/>
                <w:szCs w:val="20"/>
              </w:rPr>
              <w:t>ª posição) e as importações 70</w:t>
            </w:r>
            <w:r w:rsidRPr="006D1D2F">
              <w:rPr>
                <w:sz w:val="20"/>
                <w:szCs w:val="20"/>
              </w:rPr>
              <w:t xml:space="preserve"> milhões (14ª posição).</w:t>
            </w:r>
          </w:p>
        </w:tc>
      </w:tr>
    </w:tbl>
    <w:p w:rsidR="00447EB0" w:rsidRPr="00447EB0" w:rsidRDefault="00447EB0" w:rsidP="006D1D2F">
      <w:pPr>
        <w:spacing w:after="120" w:line="240" w:lineRule="auto"/>
      </w:pPr>
    </w:p>
    <w:p w:rsidR="006533F0" w:rsidRPr="006533F0" w:rsidRDefault="006533F0" w:rsidP="006533F0">
      <w:pPr>
        <w:shd w:val="clear" w:color="auto" w:fill="D9D9D9" w:themeFill="background1" w:themeFillShade="D9"/>
        <w:rPr>
          <w:b/>
        </w:rPr>
      </w:pPr>
      <w:r w:rsidRPr="006533F0">
        <w:rPr>
          <w:b/>
        </w:rPr>
        <w:t xml:space="preserve">A Agricultura com o CETA </w:t>
      </w:r>
    </w:p>
    <w:p w:rsidR="00F0783C" w:rsidRDefault="00F0783C" w:rsidP="00F0783C">
      <w:pPr>
        <w:jc w:val="both"/>
      </w:pPr>
      <w:r>
        <w:t xml:space="preserve">As ofertas das partes em termos de fluxos de comércio são ambiciosas e consignam um esforço de liberalização imediato e acentuado, de que são exceção: os produtos objeto de contingentação, aqueles em que há um desmantelamento gradual dos direitos aduaneiros e os </w:t>
      </w:r>
      <w:r w:rsidRPr="00447EB0">
        <w:t>excluídos de compromissos de liberalização</w:t>
      </w:r>
      <w:r>
        <w:t xml:space="preserve">, </w:t>
      </w:r>
      <w:r w:rsidRPr="00447EB0">
        <w:t>tais como carne de frango e peru, ovos e seus subprodutos</w:t>
      </w:r>
      <w:r>
        <w:t>.</w:t>
      </w:r>
    </w:p>
    <w:p w:rsidR="001F181F" w:rsidRDefault="006533F0" w:rsidP="001F181F">
      <w:pPr>
        <w:jc w:val="both"/>
      </w:pPr>
      <w:r w:rsidRPr="00447EB0">
        <w:t xml:space="preserve">No fim do </w:t>
      </w:r>
      <w:proofErr w:type="spellStart"/>
      <w:r w:rsidRPr="006D1D2F">
        <w:rPr>
          <w:i/>
        </w:rPr>
        <w:t>phasing</w:t>
      </w:r>
      <w:proofErr w:type="spellEnd"/>
      <w:r w:rsidRPr="006D1D2F">
        <w:rPr>
          <w:i/>
        </w:rPr>
        <w:t>-out</w:t>
      </w:r>
      <w:r w:rsidRPr="00447EB0">
        <w:t>, a UE liberaliza 93,6% dos direitos e o Canadá liberaliza 92%</w:t>
      </w:r>
      <w:r w:rsidR="00F0783C">
        <w:t xml:space="preserve">. </w:t>
      </w:r>
    </w:p>
    <w:p w:rsidR="001F181F" w:rsidRPr="00447EB0" w:rsidRDefault="001F181F" w:rsidP="001F181F">
      <w:pPr>
        <w:jc w:val="both"/>
      </w:pPr>
      <w:r w:rsidRPr="00447EB0">
        <w:t>O CETA preserva os direitos e obrigações da UE e do Canadá no que respeita ao Acordo sobre medidas sanitárias e fitossanitárias (SPS) da Organização Mundial do Comércio (OMC), salvaguardando os altos padrões de qualidade e segurança alimentar, proteção e segurança do consumidor e passa a integrar o Acordo Veterinário UE-Canadá de 1998</w:t>
      </w:r>
      <w:r>
        <w:t xml:space="preserve"> e o </w:t>
      </w:r>
      <w:r w:rsidRPr="00447EB0">
        <w:t>Acordo de Vinhos e Bebidas Espirituosas UE-Canadá de 200</w:t>
      </w:r>
      <w:r>
        <w:t>3</w:t>
      </w:r>
      <w:r w:rsidRPr="00447EB0">
        <w:t>, mantendo as suas regras gerais, mas reforçando o me</w:t>
      </w:r>
      <w:r w:rsidR="000852AA">
        <w:t>canismo de gestão de conflitos.</w:t>
      </w:r>
    </w:p>
    <w:p w:rsidR="00447EB0" w:rsidRPr="006D1D2F" w:rsidRDefault="001F181F" w:rsidP="00447EB0">
      <w:pPr>
        <w:shd w:val="clear" w:color="auto" w:fill="D9D9D9" w:themeFill="background1" w:themeFillShade="D9"/>
        <w:rPr>
          <w:b/>
        </w:rPr>
      </w:pPr>
      <w:r w:rsidRPr="006D1D2F">
        <w:rPr>
          <w:b/>
        </w:rPr>
        <w:lastRenderedPageBreak/>
        <w:t>A Agricultura c</w:t>
      </w:r>
      <w:r w:rsidR="006533F0" w:rsidRPr="006D1D2F">
        <w:rPr>
          <w:b/>
        </w:rPr>
        <w:t xml:space="preserve">om o CETA - </w:t>
      </w:r>
      <w:r w:rsidR="00447EB0" w:rsidRPr="006D1D2F">
        <w:rPr>
          <w:b/>
        </w:rPr>
        <w:t>Melhoria do acesso ao mercado do Canadá</w:t>
      </w:r>
    </w:p>
    <w:p w:rsidR="000C10D3" w:rsidRDefault="00F0783C" w:rsidP="00F0783C">
      <w:pPr>
        <w:jc w:val="both"/>
      </w:pPr>
      <w:r w:rsidRPr="00447EB0">
        <w:t>Com a entrada em vigor deste acordo</w:t>
      </w:r>
      <w:r w:rsidR="000C10D3">
        <w:t>:</w:t>
      </w:r>
    </w:p>
    <w:p w:rsidR="000C10D3" w:rsidRDefault="000C10D3" w:rsidP="000C10D3">
      <w:pPr>
        <w:pStyle w:val="PargrafodaLista"/>
        <w:numPr>
          <w:ilvl w:val="0"/>
          <w:numId w:val="2"/>
        </w:numPr>
        <w:jc w:val="both"/>
      </w:pPr>
      <w:r>
        <w:t>P</w:t>
      </w:r>
      <w:r w:rsidR="00F0783C">
        <w:t xml:space="preserve">assam </w:t>
      </w:r>
      <w:r w:rsidR="00F0783C" w:rsidRPr="00447EB0">
        <w:t xml:space="preserve">a estar isentos produtos que detinham direitos aduaneiros </w:t>
      </w:r>
      <w:r>
        <w:t>e que são relevantes à exportação nacional</w:t>
      </w:r>
      <w:r w:rsidR="006D1D2F">
        <w:t xml:space="preserve"> </w:t>
      </w:r>
      <w:r w:rsidR="00F0783C" w:rsidRPr="00447EB0">
        <w:t>−</w:t>
      </w:r>
      <w:proofErr w:type="gramStart"/>
      <w:r w:rsidR="00F0783C" w:rsidRPr="00447EB0">
        <w:t> vinho (1</w:t>
      </w:r>
      <w:proofErr w:type="gramEnd"/>
      <w:r w:rsidR="00F0783C" w:rsidRPr="00447EB0">
        <w:t>,87</w:t>
      </w:r>
      <w:r w:rsidR="006D1D2F">
        <w:t xml:space="preserve"> </w:t>
      </w:r>
      <w:r w:rsidR="00F0783C" w:rsidRPr="00447EB0">
        <w:t>c</w:t>
      </w:r>
      <w:r w:rsidR="006D1D2F">
        <w:t>ent</w:t>
      </w:r>
      <w:r w:rsidR="00F0783C" w:rsidRPr="00447EB0">
        <w:t>/l - 4,68 cent/l, consoante o teor alcoólico), conservas de atum (7%),  sumos de fruta (11%), pera (2,81 cent/</w:t>
      </w:r>
      <w:r>
        <w:t>Kg) e tomate processado (11,5%).</w:t>
      </w:r>
      <w:r w:rsidRPr="000C10D3">
        <w:t xml:space="preserve"> </w:t>
      </w:r>
    </w:p>
    <w:p w:rsidR="00F0783C" w:rsidRDefault="000C10D3" w:rsidP="000C10D3">
      <w:pPr>
        <w:pStyle w:val="PargrafodaLista"/>
        <w:numPr>
          <w:ilvl w:val="0"/>
          <w:numId w:val="2"/>
        </w:numPr>
        <w:jc w:val="both"/>
      </w:pPr>
      <w:r>
        <w:t>A</w:t>
      </w:r>
      <w:r w:rsidRPr="00447EB0">
        <w:t>brem-se portas para desenvolver o comércio noutras áreas do complexo agroflorestal, nomeadamente nos produtos alimentares</w:t>
      </w:r>
      <w:r>
        <w:t>.</w:t>
      </w:r>
    </w:p>
    <w:p w:rsidR="00447EB0" w:rsidRPr="00447EB0" w:rsidRDefault="00447EB0" w:rsidP="00447EB0">
      <w:pPr>
        <w:rPr>
          <w:b/>
        </w:rPr>
      </w:pPr>
      <w:r w:rsidRPr="00447EB0">
        <w:rPr>
          <w:b/>
        </w:rPr>
        <w:t>Desmantelamento de direitos aduaneiros</w:t>
      </w:r>
    </w:p>
    <w:tbl>
      <w:tblPr>
        <w:tblW w:w="7789" w:type="dxa"/>
        <w:jc w:val="center"/>
        <w:tblCellSpacing w:w="15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2"/>
        <w:gridCol w:w="2722"/>
        <w:gridCol w:w="2835"/>
      </w:tblGrid>
      <w:tr w:rsidR="00447EB0" w:rsidRPr="00447EB0" w:rsidTr="006D1D2F">
        <w:trPr>
          <w:trHeight w:val="567"/>
          <w:tblCellSpacing w:w="15" w:type="dxa"/>
          <w:jc w:val="center"/>
        </w:trPr>
        <w:tc>
          <w:tcPr>
            <w:tcW w:w="218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47EB0" w:rsidRPr="006D1D2F" w:rsidRDefault="00447EB0" w:rsidP="006D1D2F">
            <w:pPr>
              <w:spacing w:after="0"/>
              <w:jc w:val="center"/>
              <w:rPr>
                <w:b/>
              </w:rPr>
            </w:pPr>
            <w:r w:rsidRPr="006D1D2F">
              <w:rPr>
                <w:b/>
              </w:rPr>
              <w:t>Produto</w:t>
            </w:r>
          </w:p>
        </w:tc>
        <w:tc>
          <w:tcPr>
            <w:tcW w:w="269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47EB0" w:rsidRPr="006D1D2F" w:rsidRDefault="00447EB0" w:rsidP="006D1D2F">
            <w:pPr>
              <w:spacing w:after="0"/>
              <w:jc w:val="center"/>
              <w:rPr>
                <w:b/>
              </w:rPr>
            </w:pPr>
            <w:r w:rsidRPr="006D1D2F">
              <w:rPr>
                <w:b/>
              </w:rPr>
              <w:t>Direitos Sem CETA</w:t>
            </w:r>
          </w:p>
        </w:tc>
        <w:tc>
          <w:tcPr>
            <w:tcW w:w="279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47EB0" w:rsidRPr="006D1D2F" w:rsidRDefault="00447EB0" w:rsidP="006D1D2F">
            <w:pPr>
              <w:spacing w:after="0"/>
              <w:jc w:val="center"/>
              <w:rPr>
                <w:b/>
              </w:rPr>
            </w:pPr>
            <w:r w:rsidRPr="006D1D2F">
              <w:rPr>
                <w:b/>
              </w:rPr>
              <w:t>Direitos com CETA</w:t>
            </w:r>
          </w:p>
        </w:tc>
      </w:tr>
      <w:tr w:rsidR="00447EB0" w:rsidRPr="00447EB0" w:rsidTr="006D1D2F">
        <w:trPr>
          <w:tblCellSpacing w:w="15" w:type="dxa"/>
          <w:jc w:val="center"/>
        </w:trPr>
        <w:tc>
          <w:tcPr>
            <w:tcW w:w="218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47EB0" w:rsidRPr="00447EB0" w:rsidRDefault="00447EB0" w:rsidP="006D1D2F">
            <w:pPr>
              <w:spacing w:after="0"/>
            </w:pPr>
            <w:r w:rsidRPr="00447EB0">
              <w:t> VINHO ENGARRAFADO</w:t>
            </w:r>
          </w:p>
        </w:tc>
        <w:tc>
          <w:tcPr>
            <w:tcW w:w="269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47EB0" w:rsidRPr="00447EB0" w:rsidRDefault="00447EB0" w:rsidP="006D1D2F">
            <w:pPr>
              <w:spacing w:after="0"/>
            </w:pPr>
            <w:r w:rsidRPr="00447EB0">
              <w:t> 1,87</w:t>
            </w:r>
            <w:r w:rsidR="006D1D2F">
              <w:t xml:space="preserve"> </w:t>
            </w:r>
            <w:proofErr w:type="gramStart"/>
            <w:r w:rsidRPr="00447EB0">
              <w:t>c</w:t>
            </w:r>
            <w:r w:rsidR="006D1D2F">
              <w:t>ent</w:t>
            </w:r>
            <w:proofErr w:type="gramEnd"/>
            <w:r w:rsidRPr="00447EB0">
              <w:t>/l - 4,68</w:t>
            </w:r>
            <w:r w:rsidR="006D1D2F">
              <w:t xml:space="preserve"> </w:t>
            </w:r>
            <w:r w:rsidRPr="00447EB0">
              <w:t>c</w:t>
            </w:r>
            <w:r w:rsidR="006D1D2F">
              <w:t>ent</w:t>
            </w:r>
            <w:r w:rsidRPr="00447EB0">
              <w:t>/l, consoante teor alcoólico</w:t>
            </w:r>
          </w:p>
        </w:tc>
        <w:tc>
          <w:tcPr>
            <w:tcW w:w="279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47EB0" w:rsidRPr="00447EB0" w:rsidRDefault="00447EB0" w:rsidP="00447EB0">
            <w:pPr>
              <w:spacing w:after="0"/>
            </w:pPr>
            <w:r w:rsidRPr="00447EB0">
              <w:t> 0</w:t>
            </w:r>
          </w:p>
        </w:tc>
      </w:tr>
      <w:tr w:rsidR="00447EB0" w:rsidRPr="00447EB0" w:rsidTr="006D1D2F">
        <w:trPr>
          <w:trHeight w:val="567"/>
          <w:tblCellSpacing w:w="15" w:type="dxa"/>
          <w:jc w:val="center"/>
        </w:trPr>
        <w:tc>
          <w:tcPr>
            <w:tcW w:w="218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47EB0" w:rsidRPr="00447EB0" w:rsidRDefault="00447EB0" w:rsidP="006D1D2F">
            <w:pPr>
              <w:spacing w:after="0"/>
            </w:pPr>
            <w:r w:rsidRPr="00447EB0">
              <w:t> AZEITE</w:t>
            </w:r>
          </w:p>
        </w:tc>
        <w:tc>
          <w:tcPr>
            <w:tcW w:w="269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47EB0" w:rsidRPr="00447EB0" w:rsidRDefault="00447EB0" w:rsidP="00447EB0">
            <w:pPr>
              <w:spacing w:after="0"/>
            </w:pPr>
            <w:r w:rsidRPr="00447EB0">
              <w:t> 0</w:t>
            </w:r>
          </w:p>
        </w:tc>
        <w:tc>
          <w:tcPr>
            <w:tcW w:w="279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47EB0" w:rsidRPr="00447EB0" w:rsidRDefault="00447EB0" w:rsidP="00447EB0">
            <w:pPr>
              <w:spacing w:after="0"/>
            </w:pPr>
            <w:r w:rsidRPr="00447EB0">
              <w:t> 0</w:t>
            </w:r>
          </w:p>
        </w:tc>
      </w:tr>
      <w:tr w:rsidR="00447EB0" w:rsidRPr="00447EB0" w:rsidTr="006D1D2F">
        <w:trPr>
          <w:tblCellSpacing w:w="15" w:type="dxa"/>
          <w:jc w:val="center"/>
        </w:trPr>
        <w:tc>
          <w:tcPr>
            <w:tcW w:w="218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47EB0" w:rsidRPr="00447EB0" w:rsidRDefault="00447EB0" w:rsidP="006D1D2F">
            <w:pPr>
              <w:spacing w:after="0"/>
            </w:pPr>
            <w:r w:rsidRPr="00447EB0">
              <w:t>ENCHIDOS e PRESUNTOS</w:t>
            </w:r>
          </w:p>
        </w:tc>
        <w:tc>
          <w:tcPr>
            <w:tcW w:w="269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47EB0" w:rsidRPr="00447EB0" w:rsidRDefault="00447EB0" w:rsidP="00447EB0">
            <w:pPr>
              <w:spacing w:after="0"/>
            </w:pPr>
            <w:r w:rsidRPr="00447EB0">
              <w:t> 0</w:t>
            </w:r>
          </w:p>
        </w:tc>
        <w:tc>
          <w:tcPr>
            <w:tcW w:w="279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47EB0" w:rsidRPr="00447EB0" w:rsidRDefault="00447EB0" w:rsidP="00447EB0">
            <w:pPr>
              <w:spacing w:after="0"/>
            </w:pPr>
            <w:r w:rsidRPr="00447EB0">
              <w:t> 0</w:t>
            </w:r>
          </w:p>
        </w:tc>
      </w:tr>
      <w:tr w:rsidR="00447EB0" w:rsidRPr="00447EB0" w:rsidTr="006D1D2F">
        <w:trPr>
          <w:tblCellSpacing w:w="15" w:type="dxa"/>
          <w:jc w:val="center"/>
        </w:trPr>
        <w:tc>
          <w:tcPr>
            <w:tcW w:w="218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47EB0" w:rsidRPr="00447EB0" w:rsidRDefault="00447EB0" w:rsidP="00447EB0">
            <w:pPr>
              <w:spacing w:after="0"/>
            </w:pPr>
            <w:r w:rsidRPr="00447EB0">
              <w:t>CONSERVA Sardinha</w:t>
            </w:r>
          </w:p>
          <w:p w:rsidR="00447EB0" w:rsidRPr="00447EB0" w:rsidRDefault="00447EB0" w:rsidP="00447EB0">
            <w:pPr>
              <w:spacing w:after="0"/>
            </w:pPr>
            <w:r w:rsidRPr="00447EB0">
              <w:t>                      </w:t>
            </w:r>
          </w:p>
          <w:p w:rsidR="00447EB0" w:rsidRPr="00447EB0" w:rsidRDefault="00447EB0" w:rsidP="00447EB0">
            <w:pPr>
              <w:spacing w:after="0"/>
            </w:pPr>
            <w:r w:rsidRPr="00447EB0">
              <w:t>Atum</w:t>
            </w:r>
          </w:p>
        </w:tc>
        <w:tc>
          <w:tcPr>
            <w:tcW w:w="269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47EB0" w:rsidRPr="00447EB0" w:rsidRDefault="00447EB0" w:rsidP="00447EB0">
            <w:pPr>
              <w:spacing w:after="0"/>
            </w:pPr>
            <w:r w:rsidRPr="00447EB0">
              <w:t> 0</w:t>
            </w:r>
          </w:p>
          <w:p w:rsidR="00447EB0" w:rsidRPr="00447EB0" w:rsidRDefault="00447EB0" w:rsidP="00447EB0">
            <w:pPr>
              <w:spacing w:after="0"/>
            </w:pPr>
            <w:r w:rsidRPr="00447EB0">
              <w:t> </w:t>
            </w:r>
          </w:p>
          <w:p w:rsidR="00447EB0" w:rsidRPr="00447EB0" w:rsidRDefault="00447EB0" w:rsidP="00447EB0">
            <w:pPr>
              <w:spacing w:after="0"/>
            </w:pPr>
            <w:r w:rsidRPr="00447EB0">
              <w:t>7%</w:t>
            </w:r>
          </w:p>
        </w:tc>
        <w:tc>
          <w:tcPr>
            <w:tcW w:w="279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47EB0" w:rsidRPr="00447EB0" w:rsidRDefault="00447EB0" w:rsidP="00447EB0">
            <w:pPr>
              <w:spacing w:after="0"/>
            </w:pPr>
            <w:r w:rsidRPr="00447EB0">
              <w:t>0</w:t>
            </w:r>
          </w:p>
          <w:p w:rsidR="00447EB0" w:rsidRPr="00447EB0" w:rsidRDefault="00447EB0" w:rsidP="00447EB0">
            <w:pPr>
              <w:spacing w:after="0"/>
            </w:pPr>
            <w:r w:rsidRPr="00447EB0">
              <w:t> </w:t>
            </w:r>
          </w:p>
          <w:p w:rsidR="00447EB0" w:rsidRPr="00447EB0" w:rsidRDefault="00447EB0" w:rsidP="00447EB0">
            <w:pPr>
              <w:spacing w:after="0"/>
            </w:pPr>
            <w:r w:rsidRPr="00447EB0">
              <w:t>0</w:t>
            </w:r>
          </w:p>
        </w:tc>
      </w:tr>
      <w:tr w:rsidR="00447EB0" w:rsidRPr="00447EB0" w:rsidTr="006D1D2F">
        <w:trPr>
          <w:tblCellSpacing w:w="15" w:type="dxa"/>
          <w:jc w:val="center"/>
        </w:trPr>
        <w:tc>
          <w:tcPr>
            <w:tcW w:w="218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47EB0" w:rsidRPr="00447EB0" w:rsidRDefault="00447EB0" w:rsidP="00447EB0">
            <w:pPr>
              <w:spacing w:after="0"/>
            </w:pPr>
            <w:r w:rsidRPr="00447EB0">
              <w:t>QUEIJO</w:t>
            </w:r>
          </w:p>
        </w:tc>
        <w:tc>
          <w:tcPr>
            <w:tcW w:w="269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47EB0" w:rsidRPr="00447EB0" w:rsidRDefault="00447EB0" w:rsidP="00447EB0">
            <w:pPr>
              <w:spacing w:after="0"/>
            </w:pPr>
            <w:r w:rsidRPr="00447EB0">
              <w:t>3,32</w:t>
            </w:r>
            <w:r w:rsidR="006D1D2F">
              <w:t xml:space="preserve"> </w:t>
            </w:r>
            <w:proofErr w:type="gramStart"/>
            <w:r w:rsidRPr="00447EB0">
              <w:t>c</w:t>
            </w:r>
            <w:r w:rsidR="006D1D2F">
              <w:t>ent</w:t>
            </w:r>
            <w:proofErr w:type="gramEnd"/>
            <w:r w:rsidRPr="00447EB0">
              <w:t>/Kg - Contingente</w:t>
            </w:r>
          </w:p>
          <w:p w:rsidR="00447EB0" w:rsidRPr="00447EB0" w:rsidRDefault="00447EB0" w:rsidP="00447EB0">
            <w:pPr>
              <w:spacing w:after="0"/>
            </w:pPr>
            <w:r w:rsidRPr="00447EB0">
              <w:t>245,5% - Fora do contingente</w:t>
            </w:r>
          </w:p>
        </w:tc>
        <w:tc>
          <w:tcPr>
            <w:tcW w:w="279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47EB0" w:rsidRPr="00447EB0" w:rsidRDefault="00447EB0" w:rsidP="00447EB0">
            <w:pPr>
              <w:spacing w:after="0"/>
            </w:pPr>
            <w:r w:rsidRPr="00447EB0">
              <w:t> 3,32</w:t>
            </w:r>
            <w:r w:rsidR="006D1D2F">
              <w:t xml:space="preserve"> </w:t>
            </w:r>
            <w:proofErr w:type="gramStart"/>
            <w:r w:rsidRPr="00447EB0">
              <w:t>c</w:t>
            </w:r>
            <w:r w:rsidR="006D1D2F">
              <w:t>ent</w:t>
            </w:r>
            <w:proofErr w:type="gramEnd"/>
            <w:r w:rsidRPr="00447EB0">
              <w:t>/Kg - Contingente</w:t>
            </w:r>
          </w:p>
          <w:p w:rsidR="00447EB0" w:rsidRPr="00447EB0" w:rsidRDefault="00447EB0" w:rsidP="00447EB0">
            <w:pPr>
              <w:spacing w:after="0"/>
            </w:pPr>
            <w:r w:rsidRPr="00447EB0">
              <w:t>245,5% - Fora do contingente</w:t>
            </w:r>
          </w:p>
        </w:tc>
      </w:tr>
      <w:tr w:rsidR="00447EB0" w:rsidRPr="00447EB0" w:rsidTr="006D1D2F">
        <w:trPr>
          <w:trHeight w:val="567"/>
          <w:tblCellSpacing w:w="15" w:type="dxa"/>
          <w:jc w:val="center"/>
        </w:trPr>
        <w:tc>
          <w:tcPr>
            <w:tcW w:w="218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47EB0" w:rsidRPr="00447EB0" w:rsidRDefault="00447EB0" w:rsidP="00447EB0">
            <w:pPr>
              <w:spacing w:after="0"/>
            </w:pPr>
            <w:r w:rsidRPr="00447EB0">
              <w:t>SUMOS</w:t>
            </w:r>
          </w:p>
        </w:tc>
        <w:tc>
          <w:tcPr>
            <w:tcW w:w="269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47EB0" w:rsidRPr="00447EB0" w:rsidRDefault="00447EB0" w:rsidP="00447EB0">
            <w:pPr>
              <w:spacing w:after="0"/>
            </w:pPr>
            <w:r w:rsidRPr="00447EB0">
              <w:t>11%</w:t>
            </w:r>
          </w:p>
        </w:tc>
        <w:tc>
          <w:tcPr>
            <w:tcW w:w="279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47EB0" w:rsidRPr="00447EB0" w:rsidRDefault="00447EB0" w:rsidP="00447EB0">
            <w:pPr>
              <w:spacing w:after="0"/>
            </w:pPr>
            <w:r w:rsidRPr="00447EB0">
              <w:t>0</w:t>
            </w:r>
          </w:p>
        </w:tc>
      </w:tr>
      <w:tr w:rsidR="00447EB0" w:rsidRPr="00447EB0" w:rsidTr="006D1D2F">
        <w:trPr>
          <w:trHeight w:val="567"/>
          <w:tblCellSpacing w:w="15" w:type="dxa"/>
          <w:jc w:val="center"/>
        </w:trPr>
        <w:tc>
          <w:tcPr>
            <w:tcW w:w="218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47EB0" w:rsidRPr="00447EB0" w:rsidRDefault="00447EB0" w:rsidP="006D1D2F">
            <w:pPr>
              <w:spacing w:after="0"/>
            </w:pPr>
            <w:r w:rsidRPr="00447EB0">
              <w:t> PERA</w:t>
            </w:r>
          </w:p>
        </w:tc>
        <w:tc>
          <w:tcPr>
            <w:tcW w:w="269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47EB0" w:rsidRPr="00447EB0" w:rsidRDefault="00447EB0" w:rsidP="00447EB0">
            <w:pPr>
              <w:spacing w:after="0"/>
            </w:pPr>
            <w:r w:rsidRPr="00447EB0">
              <w:t> 2,81</w:t>
            </w:r>
            <w:r w:rsidR="006D1D2F">
              <w:t xml:space="preserve"> </w:t>
            </w:r>
            <w:proofErr w:type="gramStart"/>
            <w:r w:rsidRPr="00447EB0">
              <w:t>c</w:t>
            </w:r>
            <w:r w:rsidR="006D1D2F">
              <w:t>ent</w:t>
            </w:r>
            <w:proofErr w:type="gramEnd"/>
            <w:r w:rsidRPr="00447EB0">
              <w:t>/kg</w:t>
            </w:r>
          </w:p>
        </w:tc>
        <w:tc>
          <w:tcPr>
            <w:tcW w:w="279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47EB0" w:rsidRPr="00447EB0" w:rsidRDefault="00447EB0" w:rsidP="00447EB0">
            <w:pPr>
              <w:spacing w:after="0"/>
            </w:pPr>
            <w:r w:rsidRPr="00447EB0">
              <w:t> 0</w:t>
            </w:r>
          </w:p>
        </w:tc>
      </w:tr>
      <w:tr w:rsidR="00447EB0" w:rsidRPr="00447EB0" w:rsidTr="006D1D2F">
        <w:trPr>
          <w:tblCellSpacing w:w="15" w:type="dxa"/>
          <w:jc w:val="center"/>
        </w:trPr>
        <w:tc>
          <w:tcPr>
            <w:tcW w:w="218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47EB0" w:rsidRPr="00447EB0" w:rsidRDefault="00447EB0" w:rsidP="00447EB0">
            <w:pPr>
              <w:spacing w:after="0"/>
            </w:pPr>
            <w:r w:rsidRPr="00447EB0">
              <w:t>TOMATE TRANSFORMADO</w:t>
            </w:r>
          </w:p>
        </w:tc>
        <w:tc>
          <w:tcPr>
            <w:tcW w:w="269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47EB0" w:rsidRPr="00447EB0" w:rsidRDefault="00447EB0" w:rsidP="00447EB0">
            <w:pPr>
              <w:spacing w:after="0"/>
            </w:pPr>
            <w:r w:rsidRPr="00447EB0">
              <w:t> 11,5%</w:t>
            </w:r>
          </w:p>
        </w:tc>
        <w:tc>
          <w:tcPr>
            <w:tcW w:w="279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47EB0" w:rsidRPr="00447EB0" w:rsidRDefault="00447EB0" w:rsidP="00447EB0">
            <w:pPr>
              <w:spacing w:after="0"/>
            </w:pPr>
            <w:r w:rsidRPr="00447EB0">
              <w:t> 0</w:t>
            </w:r>
          </w:p>
        </w:tc>
      </w:tr>
    </w:tbl>
    <w:p w:rsidR="006D1D2F" w:rsidRDefault="006D1D2F" w:rsidP="006D1D2F"/>
    <w:p w:rsidR="00447EB0" w:rsidRPr="00447EB0" w:rsidRDefault="00447EB0" w:rsidP="006D1D2F">
      <w:pPr>
        <w:jc w:val="both"/>
      </w:pPr>
      <w:r w:rsidRPr="00447EB0">
        <w:t>No caso do queijo mantêm-se os direitos existentes antes do Acordo (3,32 cent/Kg – dentro do contingente e 245,5% - fora do contingente) embora tenha aumentado significativamente o valor do contingente pautal, em 18 500 ton</w:t>
      </w:r>
      <w:r w:rsidR="006F4B57">
        <w:t>eladas</w:t>
      </w:r>
      <w:r w:rsidRPr="00447EB0">
        <w:t xml:space="preserve"> (passa de 13 500 para 32 000 toneladas, no final do período de adaptação progressiva de 6 </w:t>
      </w:r>
      <w:r w:rsidR="000C10D3">
        <w:t>etapas</w:t>
      </w:r>
      <w:r w:rsidRPr="00447EB0">
        <w:t>).</w:t>
      </w:r>
    </w:p>
    <w:p w:rsidR="000C10D3" w:rsidRDefault="00447EB0" w:rsidP="00447EB0">
      <w:pPr>
        <w:jc w:val="both"/>
      </w:pPr>
      <w:r w:rsidRPr="00447EB0">
        <w:t xml:space="preserve">A eliminação de direitos vem beneficiar, nomeadamente, os exportadores portugueses de vinho engarrafado, que representa a principal exportação </w:t>
      </w:r>
      <w:r w:rsidRPr="00FF2C71">
        <w:t>(</w:t>
      </w:r>
      <w:r w:rsidR="00FF2C71" w:rsidRPr="00FF2C71">
        <w:t>49</w:t>
      </w:r>
      <w:r w:rsidRPr="00FF2C71">
        <w:t xml:space="preserve">%) </w:t>
      </w:r>
      <w:r w:rsidRPr="00447EB0">
        <w:t>de produtos agrícolas e agroaliment</w:t>
      </w:r>
      <w:r w:rsidR="000C10D3">
        <w:t>ares de Portugal para o Canadá, sendo, também,</w:t>
      </w:r>
      <w:r w:rsidRPr="00447EB0">
        <w:t xml:space="preserve"> removidas as barreiras não pautais decorrentes de regulamentação interna para comercialização de bebidas alcoólicas no mercado canadiano. </w:t>
      </w:r>
    </w:p>
    <w:p w:rsidR="00447EB0" w:rsidRDefault="00447EB0" w:rsidP="00447EB0">
      <w:pPr>
        <w:jc w:val="both"/>
      </w:pPr>
      <w:r w:rsidRPr="00447EB0">
        <w:t>O Canadá vem, ainda, reconhecer o conceito de regionalização e as partes consideram a importância de trabalhar mais elementos destinados a minimizar restrições comerciais, no caso de um surto da doença e acordaram, também, numa série de princípios facilitadores dos processos de autorização de empresas exportadoras.</w:t>
      </w:r>
    </w:p>
    <w:p w:rsidR="006D1D2F" w:rsidRDefault="006D1D2F" w:rsidP="00447EB0">
      <w:pPr>
        <w:jc w:val="both"/>
      </w:pPr>
    </w:p>
    <w:p w:rsidR="00447EB0" w:rsidRPr="00447EB0" w:rsidRDefault="00447EB0" w:rsidP="00447EB0">
      <w:pPr>
        <w:jc w:val="both"/>
        <w:rPr>
          <w:b/>
        </w:rPr>
      </w:pPr>
      <w:r w:rsidRPr="00447EB0">
        <w:rPr>
          <w:b/>
        </w:rPr>
        <w:lastRenderedPageBreak/>
        <w:t>Indicações geográficas (</w:t>
      </w:r>
      <w:proofErr w:type="spellStart"/>
      <w:r w:rsidRPr="00447EB0">
        <w:rPr>
          <w:b/>
        </w:rPr>
        <w:t>IGs</w:t>
      </w:r>
      <w:proofErr w:type="spellEnd"/>
      <w:r w:rsidRPr="00447EB0">
        <w:rPr>
          <w:b/>
        </w:rPr>
        <w:t>)</w:t>
      </w:r>
    </w:p>
    <w:p w:rsidR="00447EB0" w:rsidRPr="00447EB0" w:rsidRDefault="00447EB0" w:rsidP="00447EB0">
      <w:pPr>
        <w:jc w:val="both"/>
      </w:pPr>
      <w:r w:rsidRPr="00447EB0">
        <w:t>Os produtos alimentares e bebidas com Indicação Geográfica (</w:t>
      </w:r>
      <w:proofErr w:type="gramStart"/>
      <w:r w:rsidRPr="00447EB0">
        <w:t>IG) são</w:t>
      </w:r>
      <w:proofErr w:type="gramEnd"/>
      <w:r w:rsidRPr="00447EB0">
        <w:t xml:space="preserve"> reconhecidos na UE pela sua elevada qualidade e comercializados como tal. O Canadá aceitou o mesmo tipo de proteção no seu mercado para a maioria dos nomes de produtos emblemáticos propostos </w:t>
      </w:r>
      <w:r w:rsidR="000C10D3">
        <w:t xml:space="preserve">da UE </w:t>
      </w:r>
      <w:r w:rsidRPr="00447EB0">
        <w:t>e, relativamente ao comércio de vinhos e bebidas espirituosas integrou a proteção de Indicações Geográficas (</w:t>
      </w:r>
      <w:proofErr w:type="spellStart"/>
      <w:r w:rsidRPr="00447EB0">
        <w:t>IGs</w:t>
      </w:r>
      <w:proofErr w:type="spellEnd"/>
      <w:r w:rsidRPr="00447EB0">
        <w:t>) vinícolas europeias no Canadá já regulada pel</w:t>
      </w:r>
      <w:r w:rsidR="00F137FD">
        <w:t>o Acordo Vinhos entre a UE e o Canadá.</w:t>
      </w:r>
    </w:p>
    <w:p w:rsidR="00492E62" w:rsidRDefault="00447EB0" w:rsidP="00492E62">
      <w:pPr>
        <w:spacing w:after="0" w:line="240" w:lineRule="auto"/>
        <w:jc w:val="both"/>
      </w:pPr>
      <w:r w:rsidRPr="00447EB0">
        <w:t xml:space="preserve">O CETA reconhece o estatuto especial e oferece proteção no mercado canadiano a 143 produtos agrícolas europeus </w:t>
      </w:r>
      <w:r w:rsidR="00492E62" w:rsidRPr="00447EB0">
        <w:t>de origem geográfica  específica</w:t>
      </w:r>
      <w:r w:rsidR="00492E62" w:rsidRPr="00447EB0">
        <w:t xml:space="preserve"> </w:t>
      </w:r>
      <w:r w:rsidRPr="00447EB0">
        <w:t>(</w:t>
      </w:r>
      <w:r w:rsidR="00492E62">
        <w:t xml:space="preserve">ver o </w:t>
      </w:r>
      <w:r w:rsidRPr="00492E62">
        <w:rPr>
          <w:i/>
        </w:rPr>
        <w:t>link</w:t>
      </w:r>
      <w:r w:rsidR="00492E62">
        <w:t xml:space="preserve"> seguinte</w:t>
      </w:r>
      <w:r w:rsidRPr="00447EB0">
        <w:t>)</w:t>
      </w:r>
    </w:p>
    <w:p w:rsidR="00447EB0" w:rsidRPr="00447EB0" w:rsidRDefault="00447EB0" w:rsidP="00492E62">
      <w:pPr>
        <w:spacing w:after="120" w:line="240" w:lineRule="auto"/>
        <w:jc w:val="both"/>
      </w:pPr>
      <w:r w:rsidRPr="00447EB0">
        <w:t>(</w:t>
      </w:r>
      <w:hyperlink r:id="rId6" w:anchor="page=2" w:history="1">
        <w:r w:rsidRPr="00447EB0">
          <w:rPr>
            <w:rStyle w:val="Hiperligao"/>
          </w:rPr>
          <w:t>http://data.consilium.europa.eu/doc/document/ST-10973-2016-ADD-5/en/pdf#page=2</w:t>
        </w:r>
      </w:hyperlink>
      <w:r w:rsidRPr="00447EB0">
        <w:t>).</w:t>
      </w:r>
    </w:p>
    <w:p w:rsidR="00F137FD" w:rsidRDefault="00447EB0" w:rsidP="00492E62">
      <w:pPr>
        <w:spacing w:after="120" w:line="240" w:lineRule="auto"/>
        <w:jc w:val="both"/>
      </w:pPr>
      <w:r w:rsidRPr="00447EB0">
        <w:t xml:space="preserve">Portugal passa a dispor de uma proteção total para 20 </w:t>
      </w:r>
      <w:proofErr w:type="spellStart"/>
      <w:r w:rsidRPr="00447EB0">
        <w:t>IGs</w:t>
      </w:r>
      <w:proofErr w:type="spellEnd"/>
      <w:r w:rsidRPr="00447EB0">
        <w:t xml:space="preserve"> que não Vinho, no âmbito deste Acordo. A única IG que não beneficiou de proteção total foi o Queijo S. Jorge, cuja tradução para inglês/francês (St. George </w:t>
      </w:r>
      <w:proofErr w:type="spellStart"/>
      <w:r w:rsidRPr="006D1D2F">
        <w:rPr>
          <w:i/>
        </w:rPr>
        <w:t>Cheese</w:t>
      </w:r>
      <w:proofErr w:type="spellEnd"/>
      <w:r w:rsidRPr="00447EB0">
        <w:t xml:space="preserve"> ou </w:t>
      </w:r>
      <w:proofErr w:type="spellStart"/>
      <w:r w:rsidRPr="006D1D2F">
        <w:rPr>
          <w:i/>
        </w:rPr>
        <w:t>Fromage</w:t>
      </w:r>
      <w:proofErr w:type="spellEnd"/>
      <w:r w:rsidRPr="00447EB0">
        <w:t xml:space="preserve"> </w:t>
      </w:r>
      <w:proofErr w:type="gramStart"/>
      <w:r w:rsidRPr="00447EB0">
        <w:t>St-George[s</w:t>
      </w:r>
      <w:proofErr w:type="gramEnd"/>
      <w:r w:rsidRPr="00447EB0">
        <w:t>]), pode ser utilizada, desde que não induza em erro o consumidor canadiano sobre a verdadeira origem deste queijo.</w:t>
      </w:r>
      <w:r w:rsidR="00F137FD" w:rsidRPr="00F137FD">
        <w:t xml:space="preserve"> </w:t>
      </w:r>
    </w:p>
    <w:p w:rsidR="00447EB0" w:rsidRPr="00447EB0" w:rsidRDefault="00F137FD" w:rsidP="00447EB0">
      <w:pPr>
        <w:jc w:val="both"/>
      </w:pPr>
      <w:r w:rsidRPr="00447EB0">
        <w:t xml:space="preserve">No domínio dos vinhos, já regulado pelo Acordo entre a UE e o Canadá, </w:t>
      </w:r>
      <w:r>
        <w:t xml:space="preserve">para </w:t>
      </w:r>
      <w:r w:rsidRPr="00447EB0">
        <w:t xml:space="preserve">Portugal, estão cobertas 33 regiões vinícolas, 8 sub-regiões com respetivas subdivisões e nomes específicos de vinhos de mesa, num total de 83 </w:t>
      </w:r>
      <w:proofErr w:type="spellStart"/>
      <w:r w:rsidRPr="00447EB0">
        <w:t>IGs</w:t>
      </w:r>
      <w:proofErr w:type="spellEnd"/>
      <w:r w:rsidRPr="00447EB0">
        <w:t>.</w:t>
      </w:r>
    </w:p>
    <w:p w:rsidR="00447EB0" w:rsidRPr="006D1D2F" w:rsidRDefault="00447EB0" w:rsidP="00447EB0">
      <w:pPr>
        <w:shd w:val="clear" w:color="auto" w:fill="D9D9D9" w:themeFill="background1" w:themeFillShade="D9"/>
        <w:rPr>
          <w:b/>
        </w:rPr>
      </w:pPr>
      <w:r w:rsidRPr="006D1D2F">
        <w:rPr>
          <w:b/>
        </w:rPr>
        <w:t>A Agricultura com o CETA │ Melhoria do acesso ao mercado da UE</w:t>
      </w:r>
    </w:p>
    <w:p w:rsidR="00447EB0" w:rsidRPr="00447EB0" w:rsidRDefault="00447EB0" w:rsidP="00447EB0">
      <w:pPr>
        <w:jc w:val="both"/>
      </w:pPr>
      <w:r w:rsidRPr="00447EB0">
        <w:t xml:space="preserve"> Os produtos “sensíveis” </w:t>
      </w:r>
      <w:r w:rsidR="00FF2C71">
        <w:t>foram</w:t>
      </w:r>
      <w:r w:rsidRPr="00447EB0">
        <w:t xml:space="preserve"> integrados em contingentes pautais (</w:t>
      </w:r>
      <w:r w:rsidR="001F181F">
        <w:t xml:space="preserve">tais como: </w:t>
      </w:r>
      <w:r w:rsidRPr="00447EB0">
        <w:t>carnes de vaca e de suíno, milho doce enlatado, trigo mole de baixa e média qualidade, camarões transformados e bacalhau congelado) ou excluídos de compromissos de liberalização (tais como carne de frango e peru, ovos e seus subprodutos).</w:t>
      </w:r>
    </w:p>
    <w:p w:rsidR="00447EB0" w:rsidRPr="00447EB0" w:rsidRDefault="00447EB0" w:rsidP="00447EB0">
      <w:pPr>
        <w:jc w:val="both"/>
      </w:pPr>
      <w:r w:rsidRPr="00447EB0">
        <w:t>Para todos os restantes produtos o acesso ao mercado da UE está inteiramente liberalizado.</w:t>
      </w:r>
    </w:p>
    <w:p w:rsidR="00655745" w:rsidRDefault="001F181F" w:rsidP="00447EB0">
      <w:pPr>
        <w:jc w:val="both"/>
      </w:pPr>
      <w:r>
        <w:t>Apesar da UE e Canadá deterem padrões elevados no domínio da segurança aliment</w:t>
      </w:r>
      <w:r w:rsidR="00EF38E1">
        <w:t>ar, as abordagens são distintas.</w:t>
      </w:r>
      <w:r>
        <w:t xml:space="preserve"> </w:t>
      </w:r>
      <w:r w:rsidR="00EF38E1">
        <w:t>Assim, u</w:t>
      </w:r>
      <w:r w:rsidR="00447EB0" w:rsidRPr="00447EB0">
        <w:t xml:space="preserve">m dos assuntos sensíveis </w:t>
      </w:r>
      <w:r w:rsidR="00655745">
        <w:t xml:space="preserve">da negociação </w:t>
      </w:r>
      <w:r w:rsidR="00447EB0" w:rsidRPr="00447EB0">
        <w:t>foi</w:t>
      </w:r>
      <w:r w:rsidR="00655745">
        <w:t>,</w:t>
      </w:r>
      <w:r w:rsidR="00447EB0" w:rsidRPr="00447EB0">
        <w:t xml:space="preserve"> </w:t>
      </w:r>
      <w:r w:rsidR="00EF38E1">
        <w:t>n</w:t>
      </w:r>
      <w:r w:rsidR="00447EB0" w:rsidRPr="00447EB0">
        <w:t xml:space="preserve">a produção pecuária, </w:t>
      </w:r>
      <w:r w:rsidR="00655745">
        <w:t>a utilização pelo Canadá d</w:t>
      </w:r>
      <w:r w:rsidR="002851A0">
        <w:t xml:space="preserve">os </w:t>
      </w:r>
      <w:r w:rsidR="00447EB0" w:rsidRPr="00447EB0">
        <w:t>auxiliares de crescimento</w:t>
      </w:r>
      <w:r w:rsidR="00655745">
        <w:t>. O</w:t>
      </w:r>
      <w:r w:rsidR="00447EB0" w:rsidRPr="00447EB0">
        <w:t xml:space="preserve"> Canadá permite a utilização de determinadas substâncias, como antibióticos e hormonas, que não são admitidas na UE. </w:t>
      </w:r>
    </w:p>
    <w:p w:rsidR="00447EB0" w:rsidRPr="00447EB0" w:rsidRDefault="00447EB0" w:rsidP="00447EB0">
      <w:pPr>
        <w:jc w:val="both"/>
      </w:pPr>
      <w:r w:rsidRPr="00447EB0">
        <w:t xml:space="preserve">A UE não abdicou do princípio da precaução que tem impedido a utilização dessas substâncias, </w:t>
      </w:r>
      <w:r w:rsidR="00FF2C71">
        <w:t xml:space="preserve">tendo </w:t>
      </w:r>
      <w:r w:rsidRPr="00447EB0">
        <w:t xml:space="preserve">negociado em termos de acesso ao seu mercado contingentes pautais para as carnes de bovino de alta qualidade (sem hormonas, atingindo no final de seis anos para a carne de bovino fresca e refrigerada </w:t>
      </w:r>
      <w:r w:rsidR="00655745">
        <w:t xml:space="preserve">de </w:t>
      </w:r>
      <w:r w:rsidRPr="00447EB0">
        <w:t>35 000 ton</w:t>
      </w:r>
      <w:r w:rsidR="00655745">
        <w:t>eladas</w:t>
      </w:r>
      <w:r w:rsidRPr="00447EB0">
        <w:t>, para a carne de bovino congelada</w:t>
      </w:r>
      <w:r w:rsidR="00655745">
        <w:t xml:space="preserve"> de</w:t>
      </w:r>
      <w:r w:rsidRPr="00447EB0">
        <w:t xml:space="preserve"> 15 000 ton</w:t>
      </w:r>
      <w:r w:rsidR="00655745">
        <w:t>eladas</w:t>
      </w:r>
      <w:r w:rsidRPr="00447EB0">
        <w:t xml:space="preserve"> e de 75 000 toneladas para carne de suíno).</w:t>
      </w:r>
    </w:p>
    <w:p w:rsidR="007D2FAA" w:rsidRDefault="007D2FAA" w:rsidP="00447EB0">
      <w:pPr>
        <w:jc w:val="both"/>
      </w:pPr>
    </w:p>
    <w:sectPr w:rsidR="007D2FAA" w:rsidSect="006D1D2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A16369"/>
    <w:multiLevelType w:val="multilevel"/>
    <w:tmpl w:val="1C843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D85472D"/>
    <w:multiLevelType w:val="hybridMultilevel"/>
    <w:tmpl w:val="96D2607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EB0"/>
    <w:rsid w:val="000852AA"/>
    <w:rsid w:val="000C10D3"/>
    <w:rsid w:val="001F181F"/>
    <w:rsid w:val="00222CD7"/>
    <w:rsid w:val="00225976"/>
    <w:rsid w:val="00237400"/>
    <w:rsid w:val="002851A0"/>
    <w:rsid w:val="00447EB0"/>
    <w:rsid w:val="00486B7F"/>
    <w:rsid w:val="00492E62"/>
    <w:rsid w:val="006533F0"/>
    <w:rsid w:val="00655745"/>
    <w:rsid w:val="006D1D2F"/>
    <w:rsid w:val="006F4B57"/>
    <w:rsid w:val="0071361B"/>
    <w:rsid w:val="007D2FAA"/>
    <w:rsid w:val="00802719"/>
    <w:rsid w:val="00A1621B"/>
    <w:rsid w:val="00C77403"/>
    <w:rsid w:val="00CE5558"/>
    <w:rsid w:val="00DB4A8A"/>
    <w:rsid w:val="00EA7848"/>
    <w:rsid w:val="00EF38E1"/>
    <w:rsid w:val="00F0783C"/>
    <w:rsid w:val="00F137FD"/>
    <w:rsid w:val="00FF2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197780-8540-42C0-8D98-906030E46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447EB0"/>
    <w:rPr>
      <w:color w:val="0563C1" w:themeColor="hyperlink"/>
      <w:u w:val="singl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225976"/>
    <w:rPr>
      <w:color w:val="954F72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0C10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0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ata.consilium.europa.eu/doc/document/ST-10973-2016-ADD-5/en/pdf" TargetMode="External"/><Relationship Id="rId5" Type="http://schemas.openxmlformats.org/officeDocument/2006/relationships/hyperlink" Target="http://213.30.17.29/GlobalAgriMar/informaca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1220</Words>
  <Characters>6591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GPP</Company>
  <LinksUpToDate>false</LinksUpToDate>
  <CharactersWithSpaces>7796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Bidarra</dc:creator>
  <cp:keywords/>
  <dc:description/>
  <cp:lastModifiedBy>Rui Rafael Fernandes</cp:lastModifiedBy>
  <cp:revision>2</cp:revision>
  <dcterms:created xsi:type="dcterms:W3CDTF">2018-11-09T15:31:00Z</dcterms:created>
  <dcterms:modified xsi:type="dcterms:W3CDTF">2018-11-09T15:31:00Z</dcterms:modified>
</cp:coreProperties>
</file>